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DA780" w14:textId="49245A2A" w:rsidR="00365851" w:rsidRPr="00823E5D" w:rsidRDefault="00823E5D" w:rsidP="00024AD4">
      <w:pPr>
        <w:jc w:val="center"/>
        <w:rPr>
          <w:sz w:val="32"/>
          <w:szCs w:val="32"/>
        </w:rPr>
      </w:pPr>
      <w:r w:rsidRPr="00823E5D">
        <w:rPr>
          <w:rFonts w:hint="eastAsia"/>
          <w:sz w:val="32"/>
          <w:szCs w:val="32"/>
        </w:rPr>
        <w:t>保険外併用療養費</w:t>
      </w:r>
      <w:r w:rsidR="0084202A">
        <w:rPr>
          <w:rFonts w:hint="eastAsia"/>
          <w:sz w:val="32"/>
          <w:szCs w:val="32"/>
        </w:rPr>
        <w:t>支給</w:t>
      </w:r>
      <w:r w:rsidR="00474E79">
        <w:rPr>
          <w:rFonts w:hint="eastAsia"/>
          <w:sz w:val="32"/>
          <w:szCs w:val="32"/>
        </w:rPr>
        <w:t>対象</w:t>
      </w:r>
      <w:r w:rsidRPr="00823E5D">
        <w:rPr>
          <w:rFonts w:hint="eastAsia"/>
          <w:sz w:val="32"/>
          <w:szCs w:val="32"/>
        </w:rPr>
        <w:t>外</w:t>
      </w:r>
      <w:r w:rsidR="0084202A">
        <w:rPr>
          <w:rFonts w:hint="eastAsia"/>
          <w:sz w:val="32"/>
          <w:szCs w:val="32"/>
        </w:rPr>
        <w:t>費用</w:t>
      </w:r>
      <w:r w:rsidRPr="00823E5D">
        <w:rPr>
          <w:rFonts w:hint="eastAsia"/>
          <w:sz w:val="32"/>
          <w:szCs w:val="32"/>
        </w:rPr>
        <w:t>に関する覚書</w:t>
      </w:r>
    </w:p>
    <w:p w14:paraId="2B6ED4B7" w14:textId="12A3CCD6" w:rsidR="00333F7B" w:rsidRPr="00DB32F2" w:rsidRDefault="00333F7B" w:rsidP="00305717">
      <w:pPr>
        <w:wordWrap w:val="0"/>
        <w:spacing w:beforeLines="100" w:before="341" w:line="320" w:lineRule="exact"/>
      </w:pPr>
      <w:r w:rsidRPr="00DB32F2">
        <w:rPr>
          <w:rFonts w:hint="eastAsia"/>
        </w:rPr>
        <w:t>関西医科大学附属病院（以下、甲という）と　　（治験</w:t>
      </w:r>
      <w:r w:rsidR="00DB32F2" w:rsidRPr="00DB32F2">
        <w:rPr>
          <w:rFonts w:hint="eastAsia"/>
        </w:rPr>
        <w:t>依頼</w:t>
      </w:r>
      <w:r w:rsidRPr="00DB32F2">
        <w:rPr>
          <w:rFonts w:hint="eastAsia"/>
        </w:rPr>
        <w:t>者）　　　（以下、乙という）は、</w:t>
      </w:r>
      <w:r w:rsidR="00126CD9" w:rsidRPr="00DB32F2">
        <w:rPr>
          <w:rFonts w:hint="eastAsia"/>
        </w:rPr>
        <w:t>学校法人関西医科大学、</w:t>
      </w:r>
      <w:r w:rsidRPr="00DB32F2">
        <w:rPr>
          <w:rFonts w:hint="eastAsia"/>
        </w:rPr>
        <w:t xml:space="preserve">乙間において西暦　</w:t>
      </w:r>
      <w:r w:rsidR="00DB32F2">
        <w:rPr>
          <w:rFonts w:hint="eastAsia"/>
        </w:rPr>
        <w:t xml:space="preserve"> </w:t>
      </w:r>
      <w:r w:rsidRPr="00DB32F2">
        <w:rPr>
          <w:rFonts w:hint="eastAsia"/>
        </w:rPr>
        <w:t xml:space="preserve">　　年　　月　　日付で締結した</w:t>
      </w:r>
      <w:r w:rsidR="000F437C" w:rsidRPr="00DB32F2">
        <w:rPr>
          <w:rFonts w:hint="eastAsia"/>
        </w:rPr>
        <w:t>被験薬</w:t>
      </w:r>
      <w:r w:rsidRPr="00DB32F2">
        <w:rPr>
          <w:rFonts w:hint="eastAsia"/>
        </w:rPr>
        <w:t xml:space="preserve">　　　　　　　　　</w:t>
      </w:r>
      <w:r w:rsidR="000F437C" w:rsidRPr="00DB32F2">
        <w:rPr>
          <w:rFonts w:hint="eastAsia"/>
        </w:rPr>
        <w:t>の治験</w:t>
      </w:r>
      <w:r w:rsidRPr="00DB32F2">
        <w:rPr>
          <w:rFonts w:hint="eastAsia"/>
        </w:rPr>
        <w:t>（以下、「本治験」という）に関する治験実施契約書（以下、「原契約」という）について、以下の通り保険外併用療養費支給対象外費用に関する覚書を締結する。</w:t>
      </w:r>
    </w:p>
    <w:p w14:paraId="754BB1E0" w14:textId="77777777" w:rsidR="00584C56" w:rsidRDefault="00333F7B" w:rsidP="00305717">
      <w:pPr>
        <w:spacing w:beforeLines="100" w:before="341" w:line="320" w:lineRule="exact"/>
      </w:pPr>
      <w:r w:rsidRPr="00DB32F2">
        <w:rPr>
          <w:rFonts w:hint="eastAsia"/>
        </w:rPr>
        <w:t>治験課題名：</w:t>
      </w:r>
      <w:bookmarkStart w:id="0" w:name="_GoBack"/>
      <w:bookmarkEnd w:id="0"/>
    </w:p>
    <w:p w14:paraId="0AFA8539" w14:textId="4EEA44F1" w:rsidR="00333F7B" w:rsidRPr="00DB32F2" w:rsidRDefault="00584C56" w:rsidP="00584C56">
      <w:pPr>
        <w:spacing w:line="320" w:lineRule="exact"/>
      </w:pPr>
      <w:r>
        <w:rPr>
          <w:rFonts w:hint="eastAsia"/>
        </w:rPr>
        <w:t>治験実施計画書番号：</w:t>
      </w:r>
      <w:r w:rsidR="00305717" w:rsidRPr="00DB32F2">
        <w:t xml:space="preserve"> </w:t>
      </w:r>
    </w:p>
    <w:p w14:paraId="6960F309" w14:textId="77777777" w:rsidR="00333F7B" w:rsidRDefault="00333F7B" w:rsidP="00305717">
      <w:pPr>
        <w:keepNext/>
        <w:widowControl/>
        <w:spacing w:beforeLines="100" w:before="341" w:line="320" w:lineRule="exact"/>
      </w:pPr>
      <w:r>
        <w:rPr>
          <w:rFonts w:hint="eastAsia"/>
        </w:rPr>
        <w:t>第１条</w:t>
      </w:r>
    </w:p>
    <w:p w14:paraId="47587F81" w14:textId="77777777" w:rsidR="00124EAD" w:rsidRPr="00135453" w:rsidRDefault="00124EAD" w:rsidP="00B56A5E">
      <w:pPr>
        <w:spacing w:line="320" w:lineRule="exact"/>
        <w:ind w:leftChars="100" w:left="210"/>
        <w:rPr>
          <w:szCs w:val="21"/>
        </w:rPr>
      </w:pPr>
      <w:r w:rsidRPr="00135453">
        <w:rPr>
          <w:szCs w:val="21"/>
        </w:rPr>
        <w:t>乙は、本治験実施期間中に要した診療に要する費用のうち、</w:t>
      </w:r>
      <w:r w:rsidRPr="00135453">
        <w:rPr>
          <w:rFonts w:hint="eastAsia"/>
          <w:szCs w:val="21"/>
        </w:rPr>
        <w:t>以下の</w:t>
      </w:r>
      <w:r w:rsidRPr="00135453">
        <w:rPr>
          <w:szCs w:val="21"/>
        </w:rPr>
        <w:t>保険外併用療養費の支給対象とならない費用を負担する。</w:t>
      </w:r>
    </w:p>
    <w:p w14:paraId="29204C89" w14:textId="77777777" w:rsidR="00124EAD" w:rsidRPr="00135453" w:rsidRDefault="00124EAD" w:rsidP="00B56A5E">
      <w:pPr>
        <w:numPr>
          <w:ilvl w:val="0"/>
          <w:numId w:val="1"/>
        </w:numPr>
        <w:spacing w:line="320" w:lineRule="exact"/>
        <w:ind w:leftChars="100" w:left="630"/>
        <w:rPr>
          <w:szCs w:val="21"/>
        </w:rPr>
      </w:pPr>
      <w:r w:rsidRPr="00135453">
        <w:rPr>
          <w:rFonts w:hint="eastAsia"/>
          <w:szCs w:val="21"/>
        </w:rPr>
        <w:t>全ての検査・画像診断の費用</w:t>
      </w:r>
    </w:p>
    <w:p w14:paraId="5724E0FC" w14:textId="77777777" w:rsidR="00A66AF4" w:rsidRDefault="00124EAD" w:rsidP="00B56A5E">
      <w:pPr>
        <w:numPr>
          <w:ilvl w:val="0"/>
          <w:numId w:val="1"/>
        </w:numPr>
        <w:spacing w:line="320" w:lineRule="exact"/>
        <w:ind w:leftChars="100" w:left="630"/>
        <w:rPr>
          <w:rFonts w:hAnsi="ＭＳ 明朝"/>
          <w:szCs w:val="21"/>
        </w:rPr>
      </w:pPr>
      <w:commentRangeStart w:id="1"/>
      <w:r w:rsidRPr="00135453">
        <w:rPr>
          <w:rFonts w:hAnsi="ＭＳ 明朝"/>
          <w:szCs w:val="21"/>
        </w:rPr>
        <w:t>治験薬と同様の効能・効果を有する医薬品の薬剤費</w:t>
      </w:r>
      <w:commentRangeEnd w:id="1"/>
      <w:r w:rsidR="00E94EF0">
        <w:rPr>
          <w:rStyle w:val="a6"/>
        </w:rPr>
        <w:commentReference w:id="1"/>
      </w:r>
    </w:p>
    <w:p w14:paraId="3CD80CBF" w14:textId="77777777" w:rsidR="004F6A7F" w:rsidRDefault="004F6A7F" w:rsidP="00B56A5E">
      <w:pPr>
        <w:numPr>
          <w:ilvl w:val="0"/>
          <w:numId w:val="1"/>
        </w:numPr>
        <w:spacing w:line="320" w:lineRule="exact"/>
        <w:ind w:leftChars="100" w:left="630"/>
      </w:pPr>
      <w:commentRangeStart w:id="2"/>
      <w:r>
        <w:rPr>
          <w:rFonts w:hint="eastAsia"/>
        </w:rPr>
        <w:t>治験薬等の投与に係る費用（生理食塩</w:t>
      </w:r>
      <w:r w:rsidR="00B066E3">
        <w:rPr>
          <w:rFonts w:hint="eastAsia"/>
        </w:rPr>
        <w:t>液</w:t>
      </w:r>
      <w:r>
        <w:rPr>
          <w:rFonts w:hint="eastAsia"/>
        </w:rPr>
        <w:t>・補液等の費用）</w:t>
      </w:r>
    </w:p>
    <w:p w14:paraId="476DD620" w14:textId="77777777" w:rsidR="004F6A7F" w:rsidRDefault="004F6A7F" w:rsidP="00B56A5E">
      <w:pPr>
        <w:numPr>
          <w:ilvl w:val="0"/>
          <w:numId w:val="1"/>
        </w:numPr>
        <w:spacing w:line="320" w:lineRule="exact"/>
        <w:ind w:leftChars="100" w:left="630"/>
      </w:pPr>
      <w:r>
        <w:rPr>
          <w:rFonts w:hint="eastAsia"/>
        </w:rPr>
        <w:t>治験薬等の投与の前処置に係る費用</w:t>
      </w:r>
      <w:commentRangeEnd w:id="2"/>
      <w:r>
        <w:rPr>
          <w:rStyle w:val="a6"/>
        </w:rPr>
        <w:commentReference w:id="2"/>
      </w:r>
    </w:p>
    <w:p w14:paraId="650FC019" w14:textId="77777777" w:rsidR="00333F7B" w:rsidRDefault="00333F7B" w:rsidP="00305717">
      <w:pPr>
        <w:keepNext/>
        <w:widowControl/>
        <w:spacing w:beforeLines="100" w:before="341" w:line="320" w:lineRule="exact"/>
      </w:pPr>
      <w:r>
        <w:rPr>
          <w:rFonts w:hint="eastAsia"/>
        </w:rPr>
        <w:t>第２条</w:t>
      </w:r>
    </w:p>
    <w:p w14:paraId="2849782B" w14:textId="3BE0AF3D" w:rsidR="00333F7B" w:rsidRDefault="00124EAD" w:rsidP="005029DB">
      <w:pPr>
        <w:spacing w:line="320" w:lineRule="exact"/>
        <w:ind w:leftChars="100" w:left="210"/>
        <w:rPr>
          <w:color w:val="FF00FF"/>
        </w:rPr>
      </w:pPr>
      <w:r w:rsidRPr="00DF729D">
        <w:rPr>
          <w:szCs w:val="21"/>
        </w:rPr>
        <w:t>第１条に定める費用を負担する期間は、</w:t>
      </w:r>
      <w:r w:rsidRPr="00DF729D">
        <w:rPr>
          <w:rFonts w:hint="eastAsia"/>
          <w:szCs w:val="21"/>
        </w:rPr>
        <w:t>治験薬の投与開始日から投与終了日</w:t>
      </w:r>
      <w:r w:rsidR="0031301A" w:rsidRPr="0031301A">
        <w:rPr>
          <w:rFonts w:hint="eastAsia"/>
          <w:szCs w:val="21"/>
        </w:rPr>
        <w:t>又は治験薬投与中止決定日</w:t>
      </w:r>
      <w:r w:rsidR="00553031">
        <w:rPr>
          <w:rFonts w:hint="eastAsia"/>
          <w:szCs w:val="21"/>
        </w:rPr>
        <w:t>の</w:t>
      </w:r>
      <w:r w:rsidR="0031301A" w:rsidRPr="0031301A">
        <w:rPr>
          <w:rFonts w:hint="eastAsia"/>
          <w:szCs w:val="21"/>
        </w:rPr>
        <w:t>いずれか</w:t>
      </w:r>
      <w:r w:rsidR="00EA35E0">
        <w:rPr>
          <w:rFonts w:hint="eastAsia"/>
          <w:szCs w:val="21"/>
        </w:rPr>
        <w:t>遅い</w:t>
      </w:r>
      <w:r w:rsidR="0031301A">
        <w:rPr>
          <w:rFonts w:hint="eastAsia"/>
          <w:szCs w:val="21"/>
        </w:rPr>
        <w:t>日</w:t>
      </w:r>
      <w:r w:rsidR="0031301A" w:rsidRPr="0031301A">
        <w:rPr>
          <w:rFonts w:hint="eastAsia"/>
          <w:szCs w:val="21"/>
        </w:rPr>
        <w:t>までとする。</w:t>
      </w:r>
      <w:r w:rsidR="00F92AE1">
        <w:rPr>
          <w:rFonts w:hint="eastAsia"/>
          <w:szCs w:val="21"/>
        </w:rPr>
        <w:t>ただし、</w:t>
      </w:r>
      <w:r w:rsidR="00F92AE1" w:rsidRPr="00DF729D">
        <w:rPr>
          <w:szCs w:val="21"/>
        </w:rPr>
        <w:t>第１条</w:t>
      </w:r>
      <w:r w:rsidR="00F92AE1">
        <w:rPr>
          <w:rFonts w:hint="eastAsia"/>
          <w:szCs w:val="21"/>
        </w:rPr>
        <w:t xml:space="preserve">4) </w:t>
      </w:r>
      <w:r w:rsidR="00F92AE1">
        <w:rPr>
          <w:rFonts w:hint="eastAsia"/>
          <w:szCs w:val="21"/>
        </w:rPr>
        <w:t>は、本治験参加の同意取得</w:t>
      </w:r>
      <w:r w:rsidR="00B22C34">
        <w:rPr>
          <w:rFonts w:hint="eastAsia"/>
          <w:szCs w:val="21"/>
        </w:rPr>
        <w:t>日</w:t>
      </w:r>
      <w:r w:rsidR="00F92AE1">
        <w:rPr>
          <w:rFonts w:hint="eastAsia"/>
          <w:szCs w:val="21"/>
        </w:rPr>
        <w:t>から治験薬の投与開始日</w:t>
      </w:r>
      <w:r w:rsidR="00B22C34">
        <w:rPr>
          <w:rFonts w:hint="eastAsia"/>
          <w:szCs w:val="21"/>
        </w:rPr>
        <w:t>前日</w:t>
      </w:r>
      <w:r w:rsidR="00F92AE1">
        <w:rPr>
          <w:rFonts w:hint="eastAsia"/>
          <w:szCs w:val="21"/>
        </w:rPr>
        <w:t>までの期間に投与した場合も乙が負担する。</w:t>
      </w:r>
    </w:p>
    <w:p w14:paraId="5EE9D207" w14:textId="4AF937DF" w:rsidR="00333F7B" w:rsidRPr="006406F7" w:rsidRDefault="00333F7B" w:rsidP="00305717">
      <w:pPr>
        <w:keepNext/>
        <w:widowControl/>
        <w:spacing w:beforeLines="100" w:before="341" w:line="320" w:lineRule="exact"/>
      </w:pPr>
      <w:r w:rsidRPr="006406F7">
        <w:rPr>
          <w:rFonts w:hint="eastAsia"/>
        </w:rPr>
        <w:t>第</w:t>
      </w:r>
      <w:r w:rsidR="00067B42">
        <w:rPr>
          <w:rFonts w:hint="eastAsia"/>
        </w:rPr>
        <w:t>３</w:t>
      </w:r>
      <w:r w:rsidRPr="006406F7">
        <w:rPr>
          <w:rFonts w:hint="eastAsia"/>
        </w:rPr>
        <w:t>条</w:t>
      </w:r>
    </w:p>
    <w:p w14:paraId="4B2B2D16" w14:textId="5963CADC" w:rsidR="00E94EF0" w:rsidRDefault="00124EAD" w:rsidP="005029DB">
      <w:pPr>
        <w:spacing w:line="320" w:lineRule="exact"/>
        <w:ind w:leftChars="100" w:left="210"/>
      </w:pPr>
      <w:r w:rsidRPr="004D2AB6">
        <w:t>乙は甲の請求内容を確認の上、請求書発行後</w:t>
      </w:r>
      <w:r w:rsidRPr="004D2AB6">
        <w:t>2</w:t>
      </w:r>
      <w:r w:rsidRPr="004D2AB6">
        <w:t>ヶ月以内に、甲の指定する銀行口座に第１条の発生費用</w:t>
      </w:r>
      <w:r w:rsidR="003455BA">
        <w:rPr>
          <w:rFonts w:hint="eastAsia"/>
        </w:rPr>
        <w:t>について、それに係る消費税等を合算した額</w:t>
      </w:r>
      <w:r w:rsidRPr="004D2AB6">
        <w:t>を納付しなければならない。なお、乙は甲に請求内容の説明を求めることができる。</w:t>
      </w:r>
    </w:p>
    <w:p w14:paraId="4C79B0A1" w14:textId="646A42D2" w:rsidR="00124EAD" w:rsidRPr="004D2AB6" w:rsidRDefault="00124EAD" w:rsidP="00305717">
      <w:pPr>
        <w:keepNext/>
        <w:widowControl/>
        <w:spacing w:beforeLines="100" w:before="341" w:line="320" w:lineRule="exact"/>
      </w:pPr>
      <w:r w:rsidRPr="004D2AB6">
        <w:t>第</w:t>
      </w:r>
      <w:r w:rsidR="00067B42">
        <w:rPr>
          <w:rFonts w:hint="eastAsia"/>
        </w:rPr>
        <w:t>４</w:t>
      </w:r>
      <w:r w:rsidRPr="004D2AB6">
        <w:t>条</w:t>
      </w:r>
    </w:p>
    <w:p w14:paraId="7379F497" w14:textId="77777777" w:rsidR="00124EAD" w:rsidRDefault="00124EAD" w:rsidP="005029DB">
      <w:pPr>
        <w:spacing w:line="320" w:lineRule="exact"/>
        <w:ind w:leftChars="100" w:left="210"/>
      </w:pPr>
      <w:r w:rsidRPr="004D2AB6">
        <w:t>本覚書に定めなき事項または本覚書の各条項の解釈に疑義が生じた場合は、甲乙協議のうえ解決するものとする。</w:t>
      </w:r>
    </w:p>
    <w:p w14:paraId="746B5CF7" w14:textId="55DA5CE6" w:rsidR="00305717" w:rsidRDefault="00305717">
      <w:pPr>
        <w:widowControl/>
        <w:jc w:val="left"/>
      </w:pPr>
      <w:r>
        <w:br w:type="page"/>
      </w:r>
    </w:p>
    <w:p w14:paraId="04E03F90" w14:textId="26E6843A" w:rsidR="00333F7B" w:rsidRPr="006406F7" w:rsidRDefault="00333F7B" w:rsidP="005029DB">
      <w:pPr>
        <w:spacing w:line="320" w:lineRule="exact"/>
      </w:pPr>
      <w:r w:rsidRPr="006406F7">
        <w:rPr>
          <w:rFonts w:hint="eastAsia"/>
        </w:rPr>
        <w:lastRenderedPageBreak/>
        <w:t>本覚書締結の証として、本書２通を作成し、甲乙記名</w:t>
      </w:r>
      <w:r w:rsidR="00BB5F74">
        <w:rPr>
          <w:rFonts w:hint="eastAsia"/>
        </w:rPr>
        <w:t>押印</w:t>
      </w:r>
      <w:r w:rsidRPr="006406F7">
        <w:rPr>
          <w:rFonts w:hint="eastAsia"/>
        </w:rPr>
        <w:t>のうえ、各自その１通を保有する。</w:t>
      </w:r>
    </w:p>
    <w:p w14:paraId="70CE9847" w14:textId="77777777" w:rsidR="00333F7B" w:rsidRPr="006406F7" w:rsidRDefault="00333F7B" w:rsidP="00305717">
      <w:pPr>
        <w:spacing w:beforeLines="200" w:before="682" w:line="320" w:lineRule="exact"/>
        <w:rPr>
          <w:rFonts w:ascii="ＭＳ 明朝" w:hAnsi="ＭＳ 明朝"/>
        </w:rPr>
      </w:pPr>
      <w:r w:rsidRPr="006406F7">
        <w:rPr>
          <w:rFonts w:hint="eastAsia"/>
        </w:rPr>
        <w:t xml:space="preserve">　　</w:t>
      </w:r>
      <w:r w:rsidRPr="006406F7">
        <w:rPr>
          <w:rFonts w:ascii="ＭＳ 明朝" w:hAnsi="ＭＳ 明朝" w:hint="eastAsia"/>
        </w:rPr>
        <w:t>西暦</w:t>
      </w:r>
      <w:r w:rsidR="001644AE" w:rsidRPr="006406F7">
        <w:rPr>
          <w:rFonts w:ascii="ＭＳ 明朝" w:hAnsi="ＭＳ 明朝" w:hint="eastAsia"/>
        </w:rPr>
        <w:t xml:space="preserve">　　</w:t>
      </w:r>
      <w:r w:rsidRPr="006406F7">
        <w:rPr>
          <w:rFonts w:ascii="ＭＳ 明朝" w:hAnsi="ＭＳ 明朝" w:hint="eastAsia"/>
        </w:rPr>
        <w:t xml:space="preserve">　年　　月　　日</w:t>
      </w:r>
    </w:p>
    <w:p w14:paraId="40B4C2D2" w14:textId="77777777" w:rsidR="00333F7B" w:rsidRPr="006406F7" w:rsidRDefault="00333F7B" w:rsidP="00640BA0">
      <w:pPr>
        <w:spacing w:line="320" w:lineRule="exact"/>
        <w:rPr>
          <w:rFonts w:ascii="ＭＳ 明朝" w:hAnsi="ＭＳ 明朝"/>
        </w:rPr>
      </w:pPr>
    </w:p>
    <w:p w14:paraId="71A2C2D6" w14:textId="77777777" w:rsidR="00333F7B" w:rsidRDefault="00333F7B" w:rsidP="00640BA0">
      <w:pPr>
        <w:spacing w:line="320" w:lineRule="exact"/>
        <w:rPr>
          <w:rFonts w:ascii="ＭＳ 明朝" w:hAnsi="ＭＳ 明朝"/>
        </w:rPr>
      </w:pPr>
      <w:r>
        <w:rPr>
          <w:rFonts w:ascii="ＭＳ 明朝" w:hAnsi="ＭＳ 明朝" w:hint="eastAsia"/>
        </w:rPr>
        <w:t xml:space="preserve">　　　　　　　　　　　　　　　　　　　　　　　甲  大阪府枚方市新町２丁目３番１号</w:t>
      </w:r>
    </w:p>
    <w:p w14:paraId="0C196FB3" w14:textId="77777777" w:rsidR="00333F7B" w:rsidRDefault="00333F7B" w:rsidP="00640BA0">
      <w:pPr>
        <w:tabs>
          <w:tab w:val="left" w:pos="5235"/>
        </w:tabs>
        <w:spacing w:line="320" w:lineRule="exact"/>
        <w:rPr>
          <w:rFonts w:ascii="ＭＳ 明朝" w:hAnsi="ＭＳ 明朝"/>
        </w:rPr>
      </w:pPr>
      <w:r>
        <w:rPr>
          <w:rFonts w:ascii="ＭＳ 明朝" w:hAnsi="ＭＳ 明朝" w:hint="eastAsia"/>
        </w:rPr>
        <w:tab/>
        <w:t>関西医科大学附属病院</w:t>
      </w:r>
      <w:r>
        <w:rPr>
          <w:rFonts w:ascii="ＭＳ 明朝" w:hAnsi="ＭＳ 明朝" w:hint="eastAsia"/>
        </w:rPr>
        <w:tab/>
      </w:r>
    </w:p>
    <w:p w14:paraId="46DEE57E" w14:textId="6A8F9C65" w:rsidR="00333F7B" w:rsidRDefault="00333F7B" w:rsidP="00640BA0">
      <w:pPr>
        <w:spacing w:line="320" w:lineRule="exact"/>
        <w:rPr>
          <w:rFonts w:ascii="ＭＳ 明朝" w:hAnsi="ＭＳ 明朝"/>
        </w:rPr>
      </w:pPr>
      <w:r>
        <w:rPr>
          <w:rFonts w:ascii="ＭＳ 明朝" w:hAnsi="ＭＳ 明朝" w:hint="eastAsia"/>
        </w:rPr>
        <w:t xml:space="preserve">　　　　　　　　　　　　　　　　　　　　　 　　　 病院長　　　</w:t>
      </w:r>
      <w:r w:rsidR="00966EE6">
        <w:rPr>
          <w:rFonts w:ascii="ＭＳ 明朝" w:hAnsi="ＭＳ 明朝" w:hint="eastAsia"/>
        </w:rPr>
        <w:t>松田</w:t>
      </w:r>
      <w:r w:rsidR="00B63C60">
        <w:rPr>
          <w:rFonts w:ascii="ＭＳ 明朝" w:hAnsi="ＭＳ 明朝" w:hint="eastAsia"/>
        </w:rPr>
        <w:t xml:space="preserve">　</w:t>
      </w:r>
      <w:r w:rsidR="00966EE6">
        <w:rPr>
          <w:rFonts w:ascii="ＭＳ 明朝" w:hAnsi="ＭＳ 明朝" w:hint="eastAsia"/>
        </w:rPr>
        <w:t>公志</w:t>
      </w:r>
      <w:r>
        <w:rPr>
          <w:rFonts w:ascii="ＭＳ 明朝" w:hAnsi="ＭＳ 明朝" w:hint="eastAsia"/>
        </w:rPr>
        <w:t xml:space="preserve">　　　　　　印</w:t>
      </w:r>
    </w:p>
    <w:p w14:paraId="7016E6D7" w14:textId="77777777" w:rsidR="00333F7B" w:rsidRDefault="00333F7B" w:rsidP="00640BA0">
      <w:pPr>
        <w:pStyle w:val="a3"/>
        <w:tabs>
          <w:tab w:val="left" w:pos="840"/>
        </w:tabs>
        <w:snapToGrid/>
        <w:spacing w:line="320" w:lineRule="exact"/>
        <w:rPr>
          <w:rFonts w:ascii="ＭＳ 明朝" w:hAnsi="ＭＳ 明朝"/>
        </w:rPr>
      </w:pPr>
    </w:p>
    <w:p w14:paraId="39A2BEAA" w14:textId="77777777" w:rsidR="00333F7B" w:rsidRDefault="00333F7B" w:rsidP="00640BA0">
      <w:pPr>
        <w:spacing w:line="320" w:lineRule="exact"/>
        <w:rPr>
          <w:rFonts w:ascii="ＭＳ 明朝" w:hAnsi="ＭＳ 明朝"/>
        </w:rPr>
      </w:pPr>
      <w:r>
        <w:rPr>
          <w:rFonts w:ascii="ＭＳ 明朝" w:hAnsi="ＭＳ 明朝" w:hint="eastAsia"/>
        </w:rPr>
        <w:t xml:space="preserve">　　　　　　　　　　　　　              　　　乙</w:t>
      </w:r>
    </w:p>
    <w:p w14:paraId="337963A3" w14:textId="77777777" w:rsidR="00333F7B" w:rsidRDefault="00333F7B" w:rsidP="00640BA0">
      <w:pPr>
        <w:spacing w:line="320" w:lineRule="exact"/>
        <w:rPr>
          <w:rFonts w:ascii="ＭＳ 明朝" w:hAnsi="ＭＳ 明朝"/>
        </w:rPr>
      </w:pPr>
    </w:p>
    <w:p w14:paraId="52F042EC" w14:textId="77777777" w:rsidR="00333F7B" w:rsidRDefault="00333F7B" w:rsidP="00640BA0">
      <w:pPr>
        <w:spacing w:line="320" w:lineRule="exact"/>
        <w:rPr>
          <w:rFonts w:ascii="ＭＳ 明朝" w:hAnsi="ＭＳ 明朝"/>
          <w:u w:val="single"/>
        </w:rPr>
      </w:pPr>
    </w:p>
    <w:p w14:paraId="66444859" w14:textId="77777777" w:rsidR="00365851" w:rsidRDefault="00333F7B" w:rsidP="00B5496F">
      <w:pPr>
        <w:spacing w:line="320" w:lineRule="exact"/>
      </w:pPr>
      <w:r>
        <w:rPr>
          <w:rFonts w:ascii="ＭＳ 明朝" w:hAnsi="ＭＳ 明朝" w:hint="eastAsia"/>
        </w:rPr>
        <w:t xml:space="preserve">  　　                                                                       　　　 印</w:t>
      </w:r>
      <w:r>
        <w:rPr>
          <w:rFonts w:hint="eastAsia"/>
        </w:rPr>
        <w:t xml:space="preserve">　　</w:t>
      </w:r>
    </w:p>
    <w:sectPr w:rsidR="00365851" w:rsidSect="00067B42">
      <w:headerReference w:type="first" r:id="rId11"/>
      <w:footerReference w:type="first" r:id="rId12"/>
      <w:pgSz w:w="11906" w:h="16838" w:code="9"/>
      <w:pgMar w:top="1134" w:right="1134" w:bottom="1134" w:left="1134" w:header="283" w:footer="567" w:gutter="0"/>
      <w:cols w:space="425"/>
      <w:titlePg/>
      <w:docGrid w:type="lines" w:linePitch="34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mu Tikenkanri" w:date="2015-12-17T13:45:00Z" w:initials="kT">
    <w:p w14:paraId="64987EC2" w14:textId="77777777" w:rsidR="00E94EF0" w:rsidRDefault="00E94EF0">
      <w:pPr>
        <w:pStyle w:val="a7"/>
      </w:pPr>
      <w:r>
        <w:rPr>
          <w:rStyle w:val="a6"/>
        </w:rPr>
        <w:annotationRef/>
      </w:r>
      <w:r>
        <w:rPr>
          <w:rFonts w:hint="eastAsia"/>
        </w:rPr>
        <w:t>併用禁止薬のため、該当しない場合は、削除する</w:t>
      </w:r>
    </w:p>
  </w:comment>
  <w:comment w:id="2" w:author="kmu Tikenkanribu" w:date="2015-12-17T13:45:00Z" w:initials="kT">
    <w:p w14:paraId="4943BF0E" w14:textId="77777777" w:rsidR="004F6A7F" w:rsidRDefault="004F6A7F">
      <w:pPr>
        <w:pStyle w:val="a7"/>
      </w:pPr>
      <w:r>
        <w:rPr>
          <w:rStyle w:val="a6"/>
        </w:rPr>
        <w:annotationRef/>
      </w:r>
      <w:r>
        <w:rPr>
          <w:rFonts w:hint="eastAsia"/>
        </w:rPr>
        <w:t>必要時、検討する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87EC2" w15:done="0"/>
  <w15:commentEx w15:paraId="4943BF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87EC2" w16cid:durableId="26E51FD9"/>
  <w16cid:commentId w16cid:paraId="4943BF0E" w16cid:durableId="26E51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8814E" w14:textId="77777777" w:rsidR="00120A2D" w:rsidRDefault="00120A2D">
      <w:r>
        <w:separator/>
      </w:r>
    </w:p>
  </w:endnote>
  <w:endnote w:type="continuationSeparator" w:id="0">
    <w:p w14:paraId="481740A4" w14:textId="77777777" w:rsidR="00120A2D" w:rsidRDefault="0012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F6DC" w14:textId="4D9591C0" w:rsidR="00067B42" w:rsidRPr="00067B42" w:rsidRDefault="00067B42" w:rsidP="00067B42">
    <w:pPr>
      <w:pStyle w:val="a4"/>
      <w:jc w:val="right"/>
      <w:rPr>
        <w:color w:val="7F7F7F" w:themeColor="text1" w:themeTint="80"/>
        <w:sz w:val="16"/>
      </w:rPr>
    </w:pPr>
    <w:r w:rsidRPr="00067B42">
      <w:rPr>
        <w:rFonts w:hint="eastAsia"/>
        <w:color w:val="7F7F7F" w:themeColor="text1" w:themeTint="80"/>
        <w:sz w:val="16"/>
      </w:rPr>
      <w:t>20240507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357DE" w14:textId="77777777" w:rsidR="00120A2D" w:rsidRDefault="00120A2D">
      <w:r>
        <w:separator/>
      </w:r>
    </w:p>
  </w:footnote>
  <w:footnote w:type="continuationSeparator" w:id="0">
    <w:p w14:paraId="4CF5406B" w14:textId="77777777" w:rsidR="00120A2D" w:rsidRDefault="0012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470363" w14:paraId="0BF90B92" w14:textId="77777777" w:rsidTr="00794E9F">
      <w:trPr>
        <w:trHeight w:hRule="exact" w:val="284"/>
      </w:trPr>
      <w:tc>
        <w:tcPr>
          <w:tcW w:w="4876" w:type="dxa"/>
          <w:tcBorders>
            <w:top w:val="nil"/>
            <w:left w:val="nil"/>
            <w:bottom w:val="nil"/>
            <w:right w:val="single" w:sz="12" w:space="0" w:color="auto"/>
          </w:tcBorders>
          <w:vAlign w:val="center"/>
        </w:tcPr>
        <w:p w14:paraId="5D5EACA9" w14:textId="77777777" w:rsidR="00470363" w:rsidRDefault="00470363" w:rsidP="00120917">
          <w:pPr>
            <w:autoSpaceDE w:val="0"/>
            <w:autoSpaceDN w:val="0"/>
            <w:snapToGrid w:val="0"/>
            <w:rPr>
              <w:rFonts w:ascii="ＭＳ ゴシック" w:eastAsia="ＭＳ ゴシック" w:hAnsi="ＭＳ ゴシック"/>
              <w:sz w:val="18"/>
              <w:szCs w:val="18"/>
            </w:rPr>
          </w:pPr>
        </w:p>
      </w:tc>
      <w:tc>
        <w:tcPr>
          <w:tcW w:w="1021" w:type="dxa"/>
          <w:tcBorders>
            <w:top w:val="single" w:sz="12" w:space="0" w:color="auto"/>
            <w:left w:val="single" w:sz="12" w:space="0" w:color="auto"/>
            <w:bottom w:val="single" w:sz="8" w:space="0" w:color="auto"/>
            <w:right w:val="single" w:sz="4" w:space="0" w:color="000000"/>
          </w:tcBorders>
          <w:vAlign w:val="center"/>
        </w:tcPr>
        <w:p w14:paraId="1412B3CD" w14:textId="77777777" w:rsidR="00470363" w:rsidRDefault="00470363" w:rsidP="00470363">
          <w:pPr>
            <w:autoSpaceDE w:val="0"/>
            <w:autoSpaceDN w:val="0"/>
            <w:snapToGrid w:val="0"/>
            <w:jc w:val="center"/>
            <w:rPr>
              <w:rFonts w:ascii="ＭＳ ゴシック" w:eastAsia="ＭＳ ゴシック"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2C88823C" w14:textId="77777777" w:rsidR="00470363" w:rsidRDefault="00470363" w:rsidP="00470363">
          <w:pPr>
            <w:autoSpaceDE w:val="0"/>
            <w:autoSpaceDN w:val="0"/>
            <w:snapToGrid w:val="0"/>
            <w:rPr>
              <w:rFonts w:ascii="ＭＳ ゴシック" w:eastAsia="ＭＳ ゴシック" w:hAnsi="ＭＳ ゴシック"/>
              <w:sz w:val="18"/>
              <w:szCs w:val="18"/>
            </w:rPr>
          </w:pPr>
        </w:p>
      </w:tc>
    </w:tr>
    <w:tr w:rsidR="00470363" w14:paraId="51C024E2" w14:textId="77777777" w:rsidTr="00794E9F">
      <w:trPr>
        <w:trHeight w:hRule="exact" w:val="284"/>
      </w:trPr>
      <w:tc>
        <w:tcPr>
          <w:tcW w:w="4876" w:type="dxa"/>
          <w:tcBorders>
            <w:top w:val="nil"/>
            <w:left w:val="nil"/>
            <w:bottom w:val="nil"/>
            <w:right w:val="single" w:sz="12" w:space="0" w:color="auto"/>
          </w:tcBorders>
          <w:vAlign w:val="center"/>
        </w:tcPr>
        <w:p w14:paraId="6C3D965C" w14:textId="77777777" w:rsidR="00470363" w:rsidRDefault="00470363" w:rsidP="00470363">
          <w:pPr>
            <w:autoSpaceDE w:val="0"/>
            <w:autoSpaceDN w:val="0"/>
            <w:snapToGrid w:val="0"/>
            <w:rPr>
              <w:rFonts w:ascii="ＭＳ ゴシック" w:eastAsia="ＭＳ ゴシック"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11BE3BB7" w14:textId="77777777" w:rsidR="00470363" w:rsidRDefault="00470363" w:rsidP="00470363">
          <w:pPr>
            <w:autoSpaceDE w:val="0"/>
            <w:autoSpaceDN w:val="0"/>
            <w:snapToGrid w:val="0"/>
            <w:jc w:val="center"/>
            <w:rPr>
              <w:rFonts w:ascii="ＭＳ ゴシック" w:eastAsia="ＭＳ ゴシック"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4A058B5C" w14:textId="77777777" w:rsidR="00470363" w:rsidRDefault="00470363" w:rsidP="00470363">
          <w:pPr>
            <w:autoSpaceDE w:val="0"/>
            <w:autoSpaceDN w:val="0"/>
            <w:snapToGrid w:val="0"/>
            <w:rPr>
              <w:rFonts w:ascii="ＭＳ ゴシック" w:eastAsia="ＭＳ ゴシック" w:hAnsi="ＭＳ ゴシック"/>
              <w:sz w:val="18"/>
              <w:szCs w:val="18"/>
            </w:rPr>
          </w:pPr>
          <w:r>
            <w:rPr>
              <w:rFonts w:hAnsi="ＭＳ ゴシック" w:hint="eastAsia"/>
              <w:sz w:val="18"/>
              <w:szCs w:val="18"/>
            </w:rPr>
            <w:t>□治験　　□製造販売後臨床試験</w:t>
          </w:r>
        </w:p>
      </w:tc>
    </w:tr>
    <w:tr w:rsidR="00470363" w14:paraId="45D6AE50" w14:textId="77777777" w:rsidTr="00794E9F">
      <w:trPr>
        <w:trHeight w:hRule="exact" w:val="284"/>
      </w:trPr>
      <w:tc>
        <w:tcPr>
          <w:tcW w:w="4876" w:type="dxa"/>
          <w:tcBorders>
            <w:top w:val="nil"/>
            <w:left w:val="nil"/>
            <w:bottom w:val="nil"/>
            <w:right w:val="single" w:sz="12" w:space="0" w:color="auto"/>
          </w:tcBorders>
          <w:vAlign w:val="center"/>
        </w:tcPr>
        <w:p w14:paraId="5353D17C" w14:textId="77777777" w:rsidR="00470363" w:rsidRDefault="00470363" w:rsidP="00470363">
          <w:pPr>
            <w:autoSpaceDE w:val="0"/>
            <w:autoSpaceDN w:val="0"/>
            <w:snapToGrid w:val="0"/>
            <w:rPr>
              <w:rFonts w:ascii="ＭＳ ゴシック" w:eastAsia="ＭＳ ゴシック"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519864A7" w14:textId="77777777" w:rsidR="00470363" w:rsidRDefault="00470363" w:rsidP="00470363">
          <w:pPr>
            <w:widowControl/>
            <w:jc w:val="left"/>
            <w:rPr>
              <w:rFonts w:ascii="ＭＳ ゴシック" w:eastAsia="ＭＳ ゴシック"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5E5A3601" w14:textId="77777777" w:rsidR="00470363" w:rsidRDefault="00470363" w:rsidP="00470363">
          <w:pPr>
            <w:autoSpaceDE w:val="0"/>
            <w:autoSpaceDN w:val="0"/>
            <w:snapToGrid w:val="0"/>
            <w:jc w:val="left"/>
            <w:rPr>
              <w:rFonts w:ascii="ＭＳ ゴシック" w:eastAsia="ＭＳ ゴシック" w:hAnsi="ＭＳ ゴシック"/>
              <w:sz w:val="18"/>
              <w:szCs w:val="18"/>
            </w:rPr>
          </w:pPr>
          <w:r>
            <w:rPr>
              <w:rFonts w:hAnsi="ＭＳ ゴシック" w:hint="eastAsia"/>
              <w:sz w:val="18"/>
              <w:szCs w:val="18"/>
            </w:rPr>
            <w:t>□医薬品　□医療機器　□再生医療等製品品</w:t>
          </w:r>
        </w:p>
      </w:tc>
    </w:tr>
  </w:tbl>
  <w:p w14:paraId="04AD2108" w14:textId="53C2EF18" w:rsidR="00470363" w:rsidRDefault="00470363">
    <w:pPr>
      <w:pStyle w:val="a3"/>
    </w:pPr>
  </w:p>
  <w:p w14:paraId="785B3CF0" w14:textId="77777777" w:rsidR="00305717" w:rsidRPr="00470363" w:rsidRDefault="003057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15BD"/>
    <w:multiLevelType w:val="hybridMultilevel"/>
    <w:tmpl w:val="E7FAED2A"/>
    <w:lvl w:ilvl="0" w:tplc="0FFEC088">
      <w:start w:val="1"/>
      <w:numFmt w:val="decimal"/>
      <w:lvlText w:val="%1)"/>
      <w:lvlJc w:val="left"/>
      <w:pPr>
        <w:ind w:left="271" w:hanging="420"/>
      </w:pPr>
      <w:rPr>
        <w:rFonts w:ascii="Century" w:eastAsia="ＭＳ 明朝" w:hAnsi="Century" w:cs="Times New Roman"/>
      </w:rPr>
    </w:lvl>
    <w:lvl w:ilvl="1" w:tplc="04090017" w:tentative="1">
      <w:start w:val="1"/>
      <w:numFmt w:val="aiueoFullWidth"/>
      <w:lvlText w:val="(%2)"/>
      <w:lvlJc w:val="left"/>
      <w:pPr>
        <w:ind w:left="691" w:hanging="420"/>
      </w:pPr>
    </w:lvl>
    <w:lvl w:ilvl="2" w:tplc="04090011" w:tentative="1">
      <w:start w:val="1"/>
      <w:numFmt w:val="decimalEnclosedCircle"/>
      <w:lvlText w:val="%3"/>
      <w:lvlJc w:val="left"/>
      <w:pPr>
        <w:ind w:left="1111" w:hanging="420"/>
      </w:pPr>
    </w:lvl>
    <w:lvl w:ilvl="3" w:tplc="0409000F" w:tentative="1">
      <w:start w:val="1"/>
      <w:numFmt w:val="decimal"/>
      <w:lvlText w:val="%4."/>
      <w:lvlJc w:val="left"/>
      <w:pPr>
        <w:ind w:left="1531" w:hanging="420"/>
      </w:pPr>
    </w:lvl>
    <w:lvl w:ilvl="4" w:tplc="04090017" w:tentative="1">
      <w:start w:val="1"/>
      <w:numFmt w:val="aiueoFullWidth"/>
      <w:lvlText w:val="(%5)"/>
      <w:lvlJc w:val="left"/>
      <w:pPr>
        <w:ind w:left="1951" w:hanging="420"/>
      </w:pPr>
    </w:lvl>
    <w:lvl w:ilvl="5" w:tplc="04090011" w:tentative="1">
      <w:start w:val="1"/>
      <w:numFmt w:val="decimalEnclosedCircle"/>
      <w:lvlText w:val="%6"/>
      <w:lvlJc w:val="left"/>
      <w:pPr>
        <w:ind w:left="2371" w:hanging="420"/>
      </w:pPr>
    </w:lvl>
    <w:lvl w:ilvl="6" w:tplc="0409000F" w:tentative="1">
      <w:start w:val="1"/>
      <w:numFmt w:val="decimal"/>
      <w:lvlText w:val="%7."/>
      <w:lvlJc w:val="left"/>
      <w:pPr>
        <w:ind w:left="2791" w:hanging="420"/>
      </w:pPr>
    </w:lvl>
    <w:lvl w:ilvl="7" w:tplc="04090017" w:tentative="1">
      <w:start w:val="1"/>
      <w:numFmt w:val="aiueoFullWidth"/>
      <w:lvlText w:val="(%8)"/>
      <w:lvlJc w:val="left"/>
      <w:pPr>
        <w:ind w:left="3211" w:hanging="420"/>
      </w:pPr>
    </w:lvl>
    <w:lvl w:ilvl="8" w:tplc="04090011" w:tentative="1">
      <w:start w:val="1"/>
      <w:numFmt w:val="decimalEnclosedCircle"/>
      <w:lvlText w:val="%9"/>
      <w:lvlJc w:val="left"/>
      <w:pPr>
        <w:ind w:left="3631" w:hanging="420"/>
      </w:pPr>
    </w:lvl>
  </w:abstractNum>
  <w:abstractNum w:abstractNumId="1" w15:restartNumberingAfterBreak="0">
    <w:nsid w:val="2CE21FC1"/>
    <w:multiLevelType w:val="hybridMultilevel"/>
    <w:tmpl w:val="D40A28AE"/>
    <w:lvl w:ilvl="0" w:tplc="0FFEC088">
      <w:start w:val="1"/>
      <w:numFmt w:val="decimal"/>
      <w:lvlText w:val="%1)"/>
      <w:lvlJc w:val="left"/>
      <w:pPr>
        <w:ind w:left="271" w:hanging="420"/>
      </w:pPr>
      <w:rPr>
        <w:rFonts w:ascii="Century" w:eastAsia="ＭＳ 明朝" w:hAnsi="Century" w:cs="Times New Roman"/>
      </w:rPr>
    </w:lvl>
    <w:lvl w:ilvl="1" w:tplc="04090017" w:tentative="1">
      <w:start w:val="1"/>
      <w:numFmt w:val="aiueoFullWidth"/>
      <w:lvlText w:val="(%2)"/>
      <w:lvlJc w:val="left"/>
      <w:pPr>
        <w:ind w:left="691" w:hanging="420"/>
      </w:pPr>
    </w:lvl>
    <w:lvl w:ilvl="2" w:tplc="04090011" w:tentative="1">
      <w:start w:val="1"/>
      <w:numFmt w:val="decimalEnclosedCircle"/>
      <w:lvlText w:val="%3"/>
      <w:lvlJc w:val="left"/>
      <w:pPr>
        <w:ind w:left="1111" w:hanging="420"/>
      </w:pPr>
    </w:lvl>
    <w:lvl w:ilvl="3" w:tplc="0409000F" w:tentative="1">
      <w:start w:val="1"/>
      <w:numFmt w:val="decimal"/>
      <w:lvlText w:val="%4."/>
      <w:lvlJc w:val="left"/>
      <w:pPr>
        <w:ind w:left="1531" w:hanging="420"/>
      </w:pPr>
    </w:lvl>
    <w:lvl w:ilvl="4" w:tplc="04090017" w:tentative="1">
      <w:start w:val="1"/>
      <w:numFmt w:val="aiueoFullWidth"/>
      <w:lvlText w:val="(%5)"/>
      <w:lvlJc w:val="left"/>
      <w:pPr>
        <w:ind w:left="1951" w:hanging="420"/>
      </w:pPr>
    </w:lvl>
    <w:lvl w:ilvl="5" w:tplc="04090011" w:tentative="1">
      <w:start w:val="1"/>
      <w:numFmt w:val="decimalEnclosedCircle"/>
      <w:lvlText w:val="%6"/>
      <w:lvlJc w:val="left"/>
      <w:pPr>
        <w:ind w:left="2371" w:hanging="420"/>
      </w:pPr>
    </w:lvl>
    <w:lvl w:ilvl="6" w:tplc="0409000F" w:tentative="1">
      <w:start w:val="1"/>
      <w:numFmt w:val="decimal"/>
      <w:lvlText w:val="%7."/>
      <w:lvlJc w:val="left"/>
      <w:pPr>
        <w:ind w:left="2791" w:hanging="420"/>
      </w:pPr>
    </w:lvl>
    <w:lvl w:ilvl="7" w:tplc="04090017" w:tentative="1">
      <w:start w:val="1"/>
      <w:numFmt w:val="aiueoFullWidth"/>
      <w:lvlText w:val="(%8)"/>
      <w:lvlJc w:val="left"/>
      <w:pPr>
        <w:ind w:left="3211" w:hanging="420"/>
      </w:pPr>
    </w:lvl>
    <w:lvl w:ilvl="8" w:tplc="04090011" w:tentative="1">
      <w:start w:val="1"/>
      <w:numFmt w:val="decimalEnclosedCircle"/>
      <w:lvlText w:val="%9"/>
      <w:lvlJc w:val="left"/>
      <w:pPr>
        <w:ind w:left="36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51"/>
    <w:rsid w:val="00024AD4"/>
    <w:rsid w:val="0004425A"/>
    <w:rsid w:val="00054BC9"/>
    <w:rsid w:val="00067B42"/>
    <w:rsid w:val="0009461E"/>
    <w:rsid w:val="000A7660"/>
    <w:rsid w:val="000E40DA"/>
    <w:rsid w:val="000E69FF"/>
    <w:rsid w:val="000F437C"/>
    <w:rsid w:val="000F6CEB"/>
    <w:rsid w:val="00120917"/>
    <w:rsid w:val="00120A2D"/>
    <w:rsid w:val="00124EAD"/>
    <w:rsid w:val="00126CD9"/>
    <w:rsid w:val="00130099"/>
    <w:rsid w:val="00145013"/>
    <w:rsid w:val="001537AB"/>
    <w:rsid w:val="001644AE"/>
    <w:rsid w:val="0019439B"/>
    <w:rsid w:val="001C5F9B"/>
    <w:rsid w:val="001F538A"/>
    <w:rsid w:val="002013D5"/>
    <w:rsid w:val="002375BC"/>
    <w:rsid w:val="00256D00"/>
    <w:rsid w:val="00273DF0"/>
    <w:rsid w:val="002A04AA"/>
    <w:rsid w:val="002A6F56"/>
    <w:rsid w:val="002D7453"/>
    <w:rsid w:val="002E3A52"/>
    <w:rsid w:val="002F707C"/>
    <w:rsid w:val="00304EAF"/>
    <w:rsid w:val="00305717"/>
    <w:rsid w:val="00312185"/>
    <w:rsid w:val="0031301A"/>
    <w:rsid w:val="003331B6"/>
    <w:rsid w:val="00333F7B"/>
    <w:rsid w:val="003455BA"/>
    <w:rsid w:val="003544AE"/>
    <w:rsid w:val="00363045"/>
    <w:rsid w:val="00365851"/>
    <w:rsid w:val="003D40DF"/>
    <w:rsid w:val="003D4793"/>
    <w:rsid w:val="00425FB1"/>
    <w:rsid w:val="0043330E"/>
    <w:rsid w:val="00446A78"/>
    <w:rsid w:val="00454EBA"/>
    <w:rsid w:val="0046422E"/>
    <w:rsid w:val="00466C99"/>
    <w:rsid w:val="00470363"/>
    <w:rsid w:val="00474E79"/>
    <w:rsid w:val="00481B68"/>
    <w:rsid w:val="0048434D"/>
    <w:rsid w:val="004A0C7D"/>
    <w:rsid w:val="004C76F5"/>
    <w:rsid w:val="004E5417"/>
    <w:rsid w:val="004F6A7F"/>
    <w:rsid w:val="005029DB"/>
    <w:rsid w:val="00534D7C"/>
    <w:rsid w:val="00553031"/>
    <w:rsid w:val="00584C56"/>
    <w:rsid w:val="00584DC7"/>
    <w:rsid w:val="005971FB"/>
    <w:rsid w:val="006302C2"/>
    <w:rsid w:val="006406F7"/>
    <w:rsid w:val="00640BA0"/>
    <w:rsid w:val="006E2C95"/>
    <w:rsid w:val="006F27CA"/>
    <w:rsid w:val="00707C1D"/>
    <w:rsid w:val="007179B7"/>
    <w:rsid w:val="00767DDA"/>
    <w:rsid w:val="0078587F"/>
    <w:rsid w:val="00790824"/>
    <w:rsid w:val="007D68D9"/>
    <w:rsid w:val="00823E5D"/>
    <w:rsid w:val="0084202A"/>
    <w:rsid w:val="00844556"/>
    <w:rsid w:val="0087435E"/>
    <w:rsid w:val="008952FB"/>
    <w:rsid w:val="008B5FAD"/>
    <w:rsid w:val="008F062C"/>
    <w:rsid w:val="008F2081"/>
    <w:rsid w:val="00902A81"/>
    <w:rsid w:val="00906E8F"/>
    <w:rsid w:val="00931BAA"/>
    <w:rsid w:val="009457DF"/>
    <w:rsid w:val="00966EE6"/>
    <w:rsid w:val="009954F5"/>
    <w:rsid w:val="009B4D99"/>
    <w:rsid w:val="009D2DE0"/>
    <w:rsid w:val="00A1602C"/>
    <w:rsid w:val="00A424D1"/>
    <w:rsid w:val="00A53F5D"/>
    <w:rsid w:val="00A60F3C"/>
    <w:rsid w:val="00A66AF4"/>
    <w:rsid w:val="00A73499"/>
    <w:rsid w:val="00AC7B14"/>
    <w:rsid w:val="00B03139"/>
    <w:rsid w:val="00B04261"/>
    <w:rsid w:val="00B066E3"/>
    <w:rsid w:val="00B22C34"/>
    <w:rsid w:val="00B5496F"/>
    <w:rsid w:val="00B56A5E"/>
    <w:rsid w:val="00B63C60"/>
    <w:rsid w:val="00B66043"/>
    <w:rsid w:val="00B7108B"/>
    <w:rsid w:val="00BA1964"/>
    <w:rsid w:val="00BB5F74"/>
    <w:rsid w:val="00BE3E53"/>
    <w:rsid w:val="00C55286"/>
    <w:rsid w:val="00C671E7"/>
    <w:rsid w:val="00C81672"/>
    <w:rsid w:val="00C92484"/>
    <w:rsid w:val="00CC18DB"/>
    <w:rsid w:val="00D94EF3"/>
    <w:rsid w:val="00DB2410"/>
    <w:rsid w:val="00DB32F2"/>
    <w:rsid w:val="00E132B9"/>
    <w:rsid w:val="00E17916"/>
    <w:rsid w:val="00E53E8E"/>
    <w:rsid w:val="00E832D0"/>
    <w:rsid w:val="00E94EF0"/>
    <w:rsid w:val="00EA35E0"/>
    <w:rsid w:val="00EC035A"/>
    <w:rsid w:val="00EC5E6E"/>
    <w:rsid w:val="00EF036C"/>
    <w:rsid w:val="00EF1858"/>
    <w:rsid w:val="00F04DB4"/>
    <w:rsid w:val="00F431C0"/>
    <w:rsid w:val="00F92AE1"/>
    <w:rsid w:val="00FD292C"/>
    <w:rsid w:val="00FE1AF7"/>
    <w:rsid w:val="00FF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D90DB4"/>
  <w15:chartTrackingRefBased/>
  <w15:docId w15:val="{9EA9C6B4-6F7E-4B18-8728-457A9BA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FB"/>
    <w:pPr>
      <w:tabs>
        <w:tab w:val="center" w:pos="4252"/>
        <w:tab w:val="right" w:pos="8504"/>
      </w:tabs>
      <w:snapToGrid w:val="0"/>
    </w:pPr>
  </w:style>
  <w:style w:type="paragraph" w:styleId="a4">
    <w:name w:val="footer"/>
    <w:basedOn w:val="a"/>
    <w:rsid w:val="00B7108B"/>
    <w:pPr>
      <w:tabs>
        <w:tab w:val="center" w:pos="4252"/>
        <w:tab w:val="right" w:pos="8504"/>
      </w:tabs>
      <w:snapToGrid w:val="0"/>
    </w:pPr>
  </w:style>
  <w:style w:type="paragraph" w:styleId="a5">
    <w:name w:val="Balloon Text"/>
    <w:basedOn w:val="a"/>
    <w:semiHidden/>
    <w:rsid w:val="002F707C"/>
    <w:rPr>
      <w:rFonts w:ascii="Arial" w:eastAsia="ＭＳ ゴシック" w:hAnsi="Arial"/>
      <w:sz w:val="18"/>
      <w:szCs w:val="18"/>
    </w:rPr>
  </w:style>
  <w:style w:type="character" w:styleId="a6">
    <w:name w:val="annotation reference"/>
    <w:rsid w:val="0043330E"/>
    <w:rPr>
      <w:sz w:val="18"/>
      <w:szCs w:val="18"/>
    </w:rPr>
  </w:style>
  <w:style w:type="paragraph" w:styleId="a7">
    <w:name w:val="annotation text"/>
    <w:basedOn w:val="a"/>
    <w:link w:val="a8"/>
    <w:rsid w:val="0043330E"/>
    <w:pPr>
      <w:jc w:val="left"/>
    </w:pPr>
  </w:style>
  <w:style w:type="character" w:customStyle="1" w:styleId="a8">
    <w:name w:val="コメント文字列 (文字)"/>
    <w:link w:val="a7"/>
    <w:rsid w:val="0043330E"/>
    <w:rPr>
      <w:kern w:val="2"/>
      <w:sz w:val="21"/>
      <w:szCs w:val="24"/>
    </w:rPr>
  </w:style>
  <w:style w:type="paragraph" w:styleId="a9">
    <w:name w:val="List Paragraph"/>
    <w:basedOn w:val="a"/>
    <w:uiPriority w:val="34"/>
    <w:qFormat/>
    <w:rsid w:val="00124EAD"/>
    <w:pPr>
      <w:adjustRightInd w:val="0"/>
      <w:ind w:leftChars="400" w:left="840"/>
      <w:textAlignment w:val="baseline"/>
    </w:pPr>
    <w:rPr>
      <w:rFonts w:eastAsia="ＭＳ ゴシック"/>
      <w:spacing w:val="2"/>
      <w:kern w:val="0"/>
      <w:sz w:val="22"/>
      <w:szCs w:val="20"/>
    </w:rPr>
  </w:style>
  <w:style w:type="paragraph" w:styleId="aa">
    <w:name w:val="annotation subject"/>
    <w:basedOn w:val="a7"/>
    <w:next w:val="a7"/>
    <w:link w:val="ab"/>
    <w:rsid w:val="00E94EF0"/>
    <w:rPr>
      <w:b/>
      <w:bCs/>
    </w:rPr>
  </w:style>
  <w:style w:type="character" w:customStyle="1" w:styleId="ab">
    <w:name w:val="コメント内容 (文字)"/>
    <w:link w:val="aa"/>
    <w:rsid w:val="00E94E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4658">
      <w:bodyDiv w:val="1"/>
      <w:marLeft w:val="0"/>
      <w:marRight w:val="0"/>
      <w:marTop w:val="0"/>
      <w:marBottom w:val="0"/>
      <w:divBdr>
        <w:top w:val="none" w:sz="0" w:space="0" w:color="auto"/>
        <w:left w:val="none" w:sz="0" w:space="0" w:color="auto"/>
        <w:bottom w:val="none" w:sz="0" w:space="0" w:color="auto"/>
        <w:right w:val="none" w:sz="0" w:space="0" w:color="auto"/>
      </w:divBdr>
    </w:div>
    <w:div w:id="18180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E2F6-8FA7-4904-846F-80AD457F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保険外併用療養費対象外支払に関する覚書</vt:lpstr>
      <vt:lpstr>【様式25】</vt:lpstr>
    </vt:vector>
  </TitlesOfParts>
  <Company>関西医科大学附属病院</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保険外併用療養費対象外支払に関する覚書</dc:title>
  <dc:subject/>
  <dc:creator>治験管理部</dc:creator>
  <cp:keywords/>
  <cp:lastModifiedBy>Hyodo</cp:lastModifiedBy>
  <cp:revision>3</cp:revision>
  <cp:lastPrinted>2015-02-23T05:49:00Z</cp:lastPrinted>
  <dcterms:created xsi:type="dcterms:W3CDTF">2024-05-17T06:47:00Z</dcterms:created>
  <dcterms:modified xsi:type="dcterms:W3CDTF">2024-12-10T07:39:00Z</dcterms:modified>
</cp:coreProperties>
</file>